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CA4" w:rsidRDefault="009F3CA4" w:rsidP="009F3CA4">
      <w:pPr>
        <w:pStyle w:val="NoSpacing"/>
        <w:jc w:val="center"/>
        <w:rPr>
          <w:b/>
          <w:color w:val="5B9BD5" w:themeColor="accent1"/>
          <w:sz w:val="32"/>
          <w:szCs w:val="32"/>
        </w:rPr>
      </w:pPr>
    </w:p>
    <w:p w:rsidR="004A64D3" w:rsidRPr="009F3CA4" w:rsidRDefault="004A64D3" w:rsidP="009F3CA4">
      <w:pPr>
        <w:pStyle w:val="NoSpacing"/>
        <w:jc w:val="center"/>
        <w:rPr>
          <w:b/>
          <w:color w:val="5B9BD5" w:themeColor="accent1"/>
          <w:sz w:val="32"/>
          <w:szCs w:val="32"/>
        </w:rPr>
      </w:pPr>
      <w:r w:rsidRPr="009F3CA4">
        <w:rPr>
          <w:b/>
          <w:color w:val="5B9BD5" w:themeColor="accent1"/>
          <w:sz w:val="32"/>
          <w:szCs w:val="32"/>
        </w:rPr>
        <w:t xml:space="preserve">Aged Care </w:t>
      </w:r>
      <w:r w:rsidR="00F84434" w:rsidRPr="009F3CA4">
        <w:rPr>
          <w:b/>
          <w:color w:val="5B9BD5" w:themeColor="accent1"/>
          <w:sz w:val="32"/>
          <w:szCs w:val="32"/>
        </w:rPr>
        <w:t>Government funded services</w:t>
      </w:r>
    </w:p>
    <w:p w:rsidR="009F3CA4" w:rsidRDefault="009F3CA4" w:rsidP="009F3CA4">
      <w:pPr>
        <w:pStyle w:val="NoSpacing"/>
        <w:rPr>
          <w:b/>
        </w:rPr>
      </w:pPr>
    </w:p>
    <w:p w:rsidR="009F3CA4" w:rsidRPr="009F3CA4" w:rsidRDefault="009F3CA4" w:rsidP="009F3CA4">
      <w:pPr>
        <w:pStyle w:val="NoSpacing"/>
        <w:rPr>
          <w:b/>
          <w:color w:val="7030A0"/>
        </w:rPr>
      </w:pPr>
      <w:r w:rsidRPr="009F3CA4">
        <w:rPr>
          <w:b/>
          <w:color w:val="7030A0"/>
        </w:rPr>
        <w:t xml:space="preserve">Low Level Need - </w:t>
      </w:r>
      <w:r w:rsidRPr="009F3CA4">
        <w:rPr>
          <w:b/>
          <w:color w:val="7030A0"/>
          <w:sz w:val="24"/>
          <w:szCs w:val="24"/>
        </w:rPr>
        <w:t xml:space="preserve">CHSP </w:t>
      </w:r>
      <w:r w:rsidRPr="009F3CA4">
        <w:rPr>
          <w:b/>
          <w:color w:val="7030A0"/>
        </w:rPr>
        <w:t>(Commonwealth Home Support Program) formerly known as HACC</w:t>
      </w:r>
    </w:p>
    <w:p w:rsidR="009F3CA4" w:rsidRDefault="009F3CA4" w:rsidP="009F3CA4">
      <w:pPr>
        <w:pStyle w:val="NoSpacing"/>
      </w:pPr>
      <w:r>
        <w:t xml:space="preserve">One off services ongoing or for set period, these services can include cleaning, transport, personal care, allied health etc. </w:t>
      </w:r>
    </w:p>
    <w:p w:rsidR="009F3CA4" w:rsidRDefault="009F3CA4" w:rsidP="009F3CA4">
      <w:pPr>
        <w:pStyle w:val="NoSpacing"/>
      </w:pPr>
      <w:r>
        <w:t xml:space="preserve">To access these services, you need to call My Aged Care and do an over the phone assessment. Pending the outcome of this assessment you will most likely be referred to the Regional Assessment Service (RAS) which in Northern Sydney is Community Options, </w:t>
      </w:r>
      <w:proofErr w:type="spellStart"/>
      <w:r>
        <w:t>Feros</w:t>
      </w:r>
      <w:proofErr w:type="spellEnd"/>
      <w:r>
        <w:t xml:space="preserve"> Care and Northern Sydney Health (AKA Health Administration Corporation) </w:t>
      </w:r>
    </w:p>
    <w:p w:rsidR="009F3CA4" w:rsidRDefault="009F3CA4" w:rsidP="009F3CA4">
      <w:pPr>
        <w:pStyle w:val="NoSpacing"/>
      </w:pPr>
      <w:r>
        <w:t>RAS do a home assessment and refer to services based on the outcome</w:t>
      </w:r>
    </w:p>
    <w:p w:rsidR="009F3CA4" w:rsidRDefault="009F3CA4" w:rsidP="009F3CA4">
      <w:pPr>
        <w:pStyle w:val="NoSpacing"/>
      </w:pPr>
      <w:r>
        <w:t>** Web referrals can also be made via myagedcare.com.au</w:t>
      </w:r>
    </w:p>
    <w:p w:rsidR="000D0367" w:rsidRDefault="000D0367" w:rsidP="004A64D3">
      <w:pPr>
        <w:pStyle w:val="NoSpacing"/>
      </w:pPr>
    </w:p>
    <w:p w:rsidR="000D0367" w:rsidRPr="009F3CA4" w:rsidRDefault="009F3CA4" w:rsidP="004A64D3">
      <w:pPr>
        <w:pStyle w:val="NoSpacing"/>
        <w:rPr>
          <w:b/>
          <w:color w:val="7030A0"/>
        </w:rPr>
      </w:pPr>
      <w:r w:rsidRPr="009F3CA4">
        <w:rPr>
          <w:b/>
          <w:color w:val="7030A0"/>
        </w:rPr>
        <w:t xml:space="preserve">Complex Care requiring Case Management - </w:t>
      </w:r>
      <w:r w:rsidR="000D0367" w:rsidRPr="009F3CA4">
        <w:rPr>
          <w:b/>
          <w:color w:val="7030A0"/>
          <w:sz w:val="24"/>
          <w:szCs w:val="24"/>
        </w:rPr>
        <w:t>Home Care Packages (HCP</w:t>
      </w:r>
      <w:r w:rsidR="000D0367" w:rsidRPr="009F3CA4">
        <w:rPr>
          <w:b/>
          <w:color w:val="7030A0"/>
        </w:rPr>
        <w:t>) – Assessed by ACAT</w:t>
      </w:r>
    </w:p>
    <w:p w:rsidR="000D0367" w:rsidRDefault="000D0367" w:rsidP="004A64D3">
      <w:pPr>
        <w:pStyle w:val="NoSpacing"/>
      </w:pPr>
      <w:r>
        <w:t xml:space="preserve">Consumer Directed </w:t>
      </w:r>
      <w:proofErr w:type="gramStart"/>
      <w:r>
        <w:t xml:space="preserve">Services </w:t>
      </w:r>
      <w:r w:rsidR="009F3CA4">
        <w:t xml:space="preserve"> To</w:t>
      </w:r>
      <w:proofErr w:type="gramEnd"/>
      <w:r w:rsidR="009F3CA4">
        <w:t xml:space="preserve"> access these services, you will need to contact My Aged Care, referral can be made by individual, family, health professional. </w:t>
      </w:r>
    </w:p>
    <w:p w:rsidR="000D0367" w:rsidRDefault="000D0367" w:rsidP="004A64D3">
      <w:pPr>
        <w:pStyle w:val="NoSpacing"/>
      </w:pPr>
      <w:r>
        <w:t xml:space="preserve">Package has individual budget and usually </w:t>
      </w:r>
      <w:r w:rsidR="00012732">
        <w:t>clients</w:t>
      </w:r>
      <w:r>
        <w:t xml:space="preserve"> have CHSP services while waiting for a HCP</w:t>
      </w:r>
    </w:p>
    <w:p w:rsidR="009F3CA4" w:rsidRDefault="009F3CA4" w:rsidP="004A64D3">
      <w:pPr>
        <w:pStyle w:val="NoSpacing"/>
      </w:pPr>
      <w:r>
        <w:t>Providers will be allocated referrals based on vacancies, consumer can choose provider.</w:t>
      </w:r>
    </w:p>
    <w:p w:rsidR="008850E4" w:rsidRDefault="00012732" w:rsidP="004A64D3">
      <w:pPr>
        <w:pStyle w:val="NoSpacing"/>
      </w:pPr>
      <w:r>
        <w:t>Clients</w:t>
      </w:r>
      <w:r w:rsidR="008850E4">
        <w:t xml:space="preserve"> can access CHSP services if their HCP 1 or 2 is at maximum capacity. </w:t>
      </w:r>
    </w:p>
    <w:p w:rsidR="008850E4" w:rsidRDefault="00012732" w:rsidP="004A64D3">
      <w:pPr>
        <w:pStyle w:val="NoSpacing"/>
      </w:pPr>
      <w:r>
        <w:t>Clients</w:t>
      </w:r>
      <w:r w:rsidR="008850E4">
        <w:t xml:space="preserve"> are not eligible for CHSP services if they have a HCP 3 or 4</w:t>
      </w:r>
      <w:r>
        <w:t xml:space="preserve"> except for exceptional circumstances as guided by the guidelines but these additional services should be monitored and time limited. </w:t>
      </w:r>
    </w:p>
    <w:p w:rsidR="009F3CA4" w:rsidRDefault="009F3CA4" w:rsidP="004A64D3">
      <w:pPr>
        <w:pStyle w:val="NoSpacing"/>
      </w:pPr>
    </w:p>
    <w:p w:rsidR="009F3CA4" w:rsidRDefault="009F3CA4" w:rsidP="009F3CA4">
      <w:pPr>
        <w:pStyle w:val="NoSpacing"/>
      </w:pPr>
      <w:r w:rsidRPr="009F3CA4">
        <w:rPr>
          <w:b/>
          <w:color w:val="7030A0"/>
        </w:rPr>
        <w:t>Hospital Discharge -</w:t>
      </w:r>
      <w:proofErr w:type="spellStart"/>
      <w:r w:rsidRPr="009F3CA4">
        <w:rPr>
          <w:b/>
          <w:color w:val="7030A0"/>
        </w:rPr>
        <w:t>Compacs</w:t>
      </w:r>
      <w:proofErr w:type="spellEnd"/>
      <w:r w:rsidRPr="009F3CA4">
        <w:rPr>
          <w:color w:val="7030A0"/>
        </w:rPr>
        <w:t xml:space="preserve"> </w:t>
      </w:r>
      <w:r>
        <w:t>– managed by (Care Connect) coordinator and usually implemented just before discharge from hospital</w:t>
      </w:r>
    </w:p>
    <w:p w:rsidR="009F3CA4" w:rsidRDefault="009F3CA4" w:rsidP="009F3CA4">
      <w:pPr>
        <w:pStyle w:val="NoSpacing"/>
      </w:pPr>
      <w:r>
        <w:t>6 Weeks of services out of hospital</w:t>
      </w:r>
    </w:p>
    <w:p w:rsidR="009F3CA4" w:rsidRDefault="009F3CA4" w:rsidP="009F3CA4">
      <w:pPr>
        <w:pStyle w:val="NoSpacing"/>
      </w:pPr>
      <w:r>
        <w:t>Usually includes shopping, cleaning, personal care and transport</w:t>
      </w:r>
    </w:p>
    <w:p w:rsidR="009F3CA4" w:rsidRPr="00F84434" w:rsidRDefault="009F3CA4" w:rsidP="009F3CA4">
      <w:pPr>
        <w:pStyle w:val="NoSpacing"/>
        <w:rPr>
          <w:b/>
        </w:rPr>
      </w:pPr>
    </w:p>
    <w:p w:rsidR="009F3CA4" w:rsidRPr="009F3CA4" w:rsidRDefault="009F3CA4" w:rsidP="009F3CA4">
      <w:pPr>
        <w:pStyle w:val="NoSpacing"/>
        <w:rPr>
          <w:b/>
          <w:color w:val="7030A0"/>
        </w:rPr>
      </w:pPr>
      <w:r w:rsidRPr="009F3CA4">
        <w:rPr>
          <w:b/>
          <w:color w:val="7030A0"/>
        </w:rPr>
        <w:t>Hospital Discharge - Transitional Care/</w:t>
      </w:r>
      <w:proofErr w:type="spellStart"/>
      <w:r w:rsidRPr="009F3CA4">
        <w:rPr>
          <w:b/>
          <w:color w:val="7030A0"/>
        </w:rPr>
        <w:t>Transpac</w:t>
      </w:r>
      <w:proofErr w:type="spellEnd"/>
      <w:r w:rsidRPr="009F3CA4">
        <w:rPr>
          <w:b/>
          <w:color w:val="7030A0"/>
        </w:rPr>
        <w:t xml:space="preserve"> – MUST be assessed by ACAT in hospital</w:t>
      </w:r>
    </w:p>
    <w:p w:rsidR="009F3CA4" w:rsidRDefault="009F3CA4" w:rsidP="009F3CA4">
      <w:pPr>
        <w:pStyle w:val="NoSpacing"/>
      </w:pPr>
      <w:r>
        <w:t>12 Week package of care with an achievable rehabilitation goal</w:t>
      </w:r>
    </w:p>
    <w:p w:rsidR="009F3CA4" w:rsidRDefault="009F3CA4" w:rsidP="009F3CA4">
      <w:pPr>
        <w:pStyle w:val="NoSpacing"/>
      </w:pPr>
      <w:r>
        <w:t xml:space="preserve">Transitional Care can be completed either as an </w:t>
      </w:r>
      <w:proofErr w:type="spellStart"/>
      <w:r>
        <w:t>in patient</w:t>
      </w:r>
      <w:proofErr w:type="spellEnd"/>
      <w:r>
        <w:t xml:space="preserve"> (Wesley Garden Transitional Care unit – TCU) or at home. Ideally some of the 12 weeks will be completed in home.</w:t>
      </w:r>
    </w:p>
    <w:p w:rsidR="009F3CA4" w:rsidRDefault="009F3CA4" w:rsidP="009F3CA4">
      <w:pPr>
        <w:pStyle w:val="NoSpacing"/>
      </w:pPr>
      <w:r>
        <w:t>Services are Physio and OT as well as personal care, cleaning etc.</w:t>
      </w:r>
    </w:p>
    <w:p w:rsidR="009F3CA4" w:rsidRDefault="009F3CA4" w:rsidP="009F3CA4">
      <w:pPr>
        <w:pStyle w:val="NoSpacing"/>
      </w:pPr>
      <w:r>
        <w:t>Extensions can be granted up to 21 days and must be approved by the ACAT who did the original Transitional Care Approval</w:t>
      </w:r>
    </w:p>
    <w:p w:rsidR="0073102B" w:rsidRDefault="0073102B" w:rsidP="009F3CA4">
      <w:pPr>
        <w:pStyle w:val="NoSpacing"/>
      </w:pPr>
    </w:p>
    <w:p w:rsidR="0073102B" w:rsidRPr="0073102B" w:rsidRDefault="0073102B" w:rsidP="009F3CA4">
      <w:pPr>
        <w:pStyle w:val="NoSpacing"/>
        <w:rPr>
          <w:b/>
          <w:color w:val="7030A0"/>
        </w:rPr>
      </w:pPr>
      <w:r w:rsidRPr="0073102B">
        <w:rPr>
          <w:b/>
          <w:color w:val="7030A0"/>
        </w:rPr>
        <w:t>NEW Short Term Restorative Care Packages</w:t>
      </w:r>
    </w:p>
    <w:p w:rsidR="0073102B" w:rsidRDefault="0073102B" w:rsidP="009F3CA4">
      <w:pPr>
        <w:pStyle w:val="NoSpacing"/>
      </w:pPr>
      <w:r w:rsidRPr="0073102B">
        <w:t>Wellness, reablement and restorative approaches are emerging as powerful ways to help older people improve their function, independence and quality of life. The Short-Term Restorative Care (STRC) Programme aims to reverse and/or slow ‘functional decline’ in older people and improve their wellbeing.</w:t>
      </w:r>
      <w:r w:rsidR="00713065">
        <w:t xml:space="preserve"> 8 week programs available.</w:t>
      </w:r>
    </w:p>
    <w:p w:rsidR="008850E4" w:rsidRDefault="008850E4" w:rsidP="004A64D3">
      <w:pPr>
        <w:pStyle w:val="NoSpacing"/>
      </w:pPr>
    </w:p>
    <w:p w:rsidR="00F84434" w:rsidRPr="009F3CA4" w:rsidRDefault="00F84434" w:rsidP="004A64D3">
      <w:pPr>
        <w:pStyle w:val="NoSpacing"/>
        <w:rPr>
          <w:b/>
          <w:color w:val="0070C0"/>
        </w:rPr>
      </w:pPr>
      <w:r w:rsidRPr="009F3CA4">
        <w:rPr>
          <w:b/>
          <w:color w:val="0070C0"/>
        </w:rPr>
        <w:t>Fees:</w:t>
      </w:r>
    </w:p>
    <w:p w:rsidR="009F3CA4" w:rsidRDefault="009F3CA4" w:rsidP="004A64D3">
      <w:pPr>
        <w:pStyle w:val="NoSpacing"/>
      </w:pPr>
    </w:p>
    <w:p w:rsidR="009F3CA4" w:rsidRDefault="009F3CA4" w:rsidP="009F3CA4">
      <w:pPr>
        <w:pStyle w:val="NoSpacing"/>
      </w:pPr>
      <w:r>
        <w:rPr>
          <w:b/>
        </w:rPr>
        <w:t>CHSP</w:t>
      </w:r>
      <w:r>
        <w:t xml:space="preserve"> – Pay per service. Currently fees start at approx. $10-$15/hour and at the discretion of the service this fee can be increased, decreased or offered for free</w:t>
      </w:r>
    </w:p>
    <w:p w:rsidR="009F3CA4" w:rsidRDefault="009F3CA4" w:rsidP="009F3CA4">
      <w:pPr>
        <w:pStyle w:val="NoSpacing"/>
      </w:pPr>
    </w:p>
    <w:p w:rsidR="009F3CA4" w:rsidRDefault="009F3CA4" w:rsidP="009F3CA4">
      <w:pPr>
        <w:pStyle w:val="NoSpacing"/>
      </w:pPr>
      <w:r>
        <w:rPr>
          <w:b/>
        </w:rPr>
        <w:t>HCP</w:t>
      </w:r>
      <w:r w:rsidR="0073102B">
        <w:rPr>
          <w:b/>
        </w:rPr>
        <w:t xml:space="preserve"> -</w:t>
      </w:r>
      <w:r>
        <w:t>.</w:t>
      </w:r>
      <w:r w:rsidR="0073102B" w:rsidRPr="0073102B">
        <w:rPr>
          <w:rFonts w:ascii="adelle-sans" w:hAnsi="adelle-sans"/>
          <w:color w:val="4C4C4C"/>
          <w:sz w:val="27"/>
          <w:szCs w:val="27"/>
        </w:rPr>
        <w:t xml:space="preserve"> </w:t>
      </w:r>
      <w:r w:rsidR="0073102B">
        <w:t>For people receiving full pension t</w:t>
      </w:r>
      <w:r w:rsidR="0073102B" w:rsidRPr="0073102B">
        <w:t>he maximum basic fee is 17.5% of the single person rate of the basic Age Pension. This works out to be $</w:t>
      </w:r>
      <w:r w:rsidR="0073102B" w:rsidRPr="0073102B">
        <w:rPr>
          <w:b/>
        </w:rPr>
        <w:t>139.58</w:t>
      </w:r>
      <w:r w:rsidR="0073102B" w:rsidRPr="0073102B">
        <w:t xml:space="preserve"> per person, per fortnight (</w:t>
      </w:r>
      <w:r w:rsidR="0073102B" w:rsidRPr="002A5025">
        <w:rPr>
          <w:highlight w:val="yellow"/>
        </w:rPr>
        <w:t>from 20 September 2016 to 19 March 2017).</w:t>
      </w:r>
      <w:bookmarkStart w:id="0" w:name="_GoBack"/>
      <w:bookmarkEnd w:id="0"/>
    </w:p>
    <w:p w:rsidR="009F3CA4" w:rsidRDefault="009F3CA4" w:rsidP="009F3CA4">
      <w:pPr>
        <w:pStyle w:val="NoSpacing"/>
      </w:pPr>
      <w:r>
        <w:lastRenderedPageBreak/>
        <w:t>Part pensioner, DVA or self-funded retiree MUST complete an income test through Centrelink to determine their co-contribution to the HCP</w:t>
      </w:r>
      <w:r w:rsidR="0073102B">
        <w:t xml:space="preserve"> known as an income tested fee</w:t>
      </w:r>
      <w:r>
        <w:t xml:space="preserve">. Which can cost anywhere from $1 a day up to $28.50/day. </w:t>
      </w:r>
    </w:p>
    <w:p w:rsidR="009F3CA4" w:rsidRPr="00F84434" w:rsidRDefault="009F3CA4" w:rsidP="009F3CA4">
      <w:pPr>
        <w:pStyle w:val="NoSpacing"/>
      </w:pPr>
      <w:r w:rsidRPr="00506592">
        <w:rPr>
          <w:b/>
          <w:i/>
        </w:rPr>
        <w:t>Per day</w:t>
      </w:r>
      <w:r>
        <w:t xml:space="preserve"> means that the client must pay this additional charge at a rate of $? </w:t>
      </w:r>
      <w:r w:rsidR="0073102B">
        <w:t>Per day</w:t>
      </w:r>
    </w:p>
    <w:p w:rsidR="0073102B" w:rsidRPr="0073102B" w:rsidRDefault="0073102B" w:rsidP="0073102B">
      <w:pPr>
        <w:spacing w:before="100" w:beforeAutospacing="1" w:after="100" w:afterAutospacing="1" w:line="360" w:lineRule="auto"/>
        <w:outlineLvl w:val="2"/>
        <w:rPr>
          <w:rFonts w:ascii="Arial" w:eastAsia="Times New Roman" w:hAnsi="Arial" w:cs="Arial"/>
          <w:b/>
          <w:bCs/>
          <w:i/>
          <w:iCs/>
          <w:color w:val="004C97"/>
          <w:sz w:val="27"/>
          <w:szCs w:val="27"/>
          <w:lang w:eastAsia="en-AU"/>
        </w:rPr>
      </w:pPr>
      <w:r w:rsidRPr="0073102B">
        <w:rPr>
          <w:rFonts w:ascii="Arial" w:eastAsia="Times New Roman" w:hAnsi="Arial" w:cs="Arial"/>
          <w:b/>
          <w:bCs/>
          <w:i/>
          <w:iCs/>
          <w:color w:val="004C97"/>
          <w:sz w:val="27"/>
          <w:szCs w:val="27"/>
          <w:lang w:eastAsia="en-AU"/>
        </w:rPr>
        <w:t>How much income-tested care fee will I be asked to pay?</w:t>
      </w:r>
    </w:p>
    <w:p w:rsidR="0073102B" w:rsidRPr="0073102B" w:rsidRDefault="0073102B" w:rsidP="0073102B">
      <w:pPr>
        <w:pStyle w:val="NoSpacing"/>
      </w:pPr>
      <w:r w:rsidRPr="0073102B">
        <w:t>The amount your service provider may ask you to pay will vary with your financial circumstances; however, there are limits in place.</w:t>
      </w:r>
    </w:p>
    <w:p w:rsidR="0073102B" w:rsidRPr="0073102B" w:rsidRDefault="0073102B" w:rsidP="0073102B">
      <w:pPr>
        <w:pStyle w:val="NoSpacing"/>
      </w:pPr>
      <w:r w:rsidRPr="0073102B">
        <w:t>You cannot be asked to pay an income-tested care fee if you have a yearly income below the following thresholds:</w:t>
      </w:r>
    </w:p>
    <w:p w:rsidR="0073102B" w:rsidRPr="0073102B" w:rsidRDefault="0073102B" w:rsidP="0073102B">
      <w:pPr>
        <w:pStyle w:val="NoSpacing"/>
        <w:numPr>
          <w:ilvl w:val="0"/>
          <w:numId w:val="3"/>
        </w:numPr>
      </w:pPr>
      <w:r w:rsidRPr="0073102B">
        <w:t>individual person – $25,792.00</w:t>
      </w:r>
    </w:p>
    <w:p w:rsidR="0073102B" w:rsidRPr="0073102B" w:rsidRDefault="0073102B" w:rsidP="0073102B">
      <w:pPr>
        <w:pStyle w:val="NoSpacing"/>
        <w:numPr>
          <w:ilvl w:val="0"/>
          <w:numId w:val="3"/>
        </w:numPr>
      </w:pPr>
      <w:r w:rsidRPr="0073102B">
        <w:t>member of a couple but now separated due to illness (individual income) – $25,324.00</w:t>
      </w:r>
    </w:p>
    <w:p w:rsidR="0073102B" w:rsidRDefault="0073102B" w:rsidP="0073102B">
      <w:pPr>
        <w:pStyle w:val="NoSpacing"/>
        <w:numPr>
          <w:ilvl w:val="0"/>
          <w:numId w:val="3"/>
        </w:numPr>
      </w:pPr>
      <w:r w:rsidRPr="0073102B">
        <w:t>member of a couple living together (combined income) – $40,050.40.</w:t>
      </w:r>
    </w:p>
    <w:p w:rsidR="0073102B" w:rsidRPr="0073102B" w:rsidRDefault="0073102B" w:rsidP="0073102B">
      <w:pPr>
        <w:pStyle w:val="NoSpacing"/>
        <w:ind w:left="720"/>
      </w:pPr>
    </w:p>
    <w:p w:rsidR="009F3CA4" w:rsidRDefault="00903483" w:rsidP="004A64D3">
      <w:pPr>
        <w:pStyle w:val="NoSpacing"/>
      </w:pPr>
      <w:hyperlink r:id="rId7" w:history="1">
        <w:r w:rsidR="0073102B" w:rsidRPr="00420DDA">
          <w:rPr>
            <w:rStyle w:val="Hyperlink"/>
          </w:rPr>
          <w:t>http://www.myagedcare.gov.au/financial-and-legal/home-care-package-income-tested-care-fee</w:t>
        </w:r>
      </w:hyperlink>
    </w:p>
    <w:p w:rsidR="0073102B" w:rsidRPr="0073102B" w:rsidRDefault="0073102B" w:rsidP="004A64D3">
      <w:pPr>
        <w:pStyle w:val="NoSpacing"/>
      </w:pPr>
    </w:p>
    <w:p w:rsidR="009F3CA4" w:rsidRDefault="009F3CA4" w:rsidP="004A64D3">
      <w:pPr>
        <w:pStyle w:val="NoSpacing"/>
        <w:rPr>
          <w:b/>
        </w:rPr>
      </w:pPr>
    </w:p>
    <w:p w:rsidR="00F84434" w:rsidRDefault="00F84434" w:rsidP="004A64D3">
      <w:pPr>
        <w:pStyle w:val="NoSpacing"/>
      </w:pPr>
      <w:proofErr w:type="spellStart"/>
      <w:r w:rsidRPr="00F84434">
        <w:rPr>
          <w:b/>
        </w:rPr>
        <w:t>Compacs</w:t>
      </w:r>
      <w:proofErr w:type="spellEnd"/>
      <w:r>
        <w:t xml:space="preserve"> – At the discretion of the service can charge the maximum $69.51 or a nominal fee. Service can be offered for free</w:t>
      </w:r>
    </w:p>
    <w:p w:rsidR="00F84434" w:rsidRDefault="00F84434" w:rsidP="004A64D3">
      <w:pPr>
        <w:pStyle w:val="NoSpacing"/>
      </w:pPr>
      <w:r w:rsidRPr="00F84434">
        <w:rPr>
          <w:b/>
        </w:rPr>
        <w:t>Transitional Care/</w:t>
      </w:r>
      <w:proofErr w:type="spellStart"/>
      <w:r w:rsidRPr="00F84434">
        <w:rPr>
          <w:b/>
        </w:rPr>
        <w:t>Transpac</w:t>
      </w:r>
      <w:proofErr w:type="spellEnd"/>
      <w:r>
        <w:t xml:space="preserve"> – As above with </w:t>
      </w:r>
      <w:proofErr w:type="spellStart"/>
      <w:r>
        <w:t>compacs</w:t>
      </w:r>
      <w:proofErr w:type="spellEnd"/>
    </w:p>
    <w:p w:rsidR="009F3CA4" w:rsidRDefault="009F3CA4" w:rsidP="004A64D3">
      <w:pPr>
        <w:pStyle w:val="NoSpacing"/>
      </w:pPr>
    </w:p>
    <w:p w:rsidR="009F3CA4" w:rsidRPr="00690F3F" w:rsidRDefault="00690F3F" w:rsidP="004A64D3">
      <w:pPr>
        <w:pStyle w:val="NoSpacing"/>
        <w:rPr>
          <w:b/>
          <w:color w:val="0070C0"/>
          <w:sz w:val="32"/>
          <w:szCs w:val="32"/>
        </w:rPr>
      </w:pPr>
      <w:r w:rsidRPr="00690F3F">
        <w:rPr>
          <w:b/>
          <w:color w:val="0070C0"/>
          <w:sz w:val="32"/>
          <w:szCs w:val="32"/>
        </w:rPr>
        <w:t>CONTACTING MY AGED CARE</w:t>
      </w:r>
    </w:p>
    <w:p w:rsidR="00690F3F" w:rsidRDefault="00690F3F" w:rsidP="004A64D3">
      <w:pPr>
        <w:pStyle w:val="NoSpacing"/>
      </w:pPr>
    </w:p>
    <w:p w:rsidR="00690F3F" w:rsidRPr="00690F3F" w:rsidRDefault="00690F3F" w:rsidP="00690F3F">
      <w:pPr>
        <w:pStyle w:val="NoSpacing"/>
      </w:pPr>
      <w:r w:rsidRPr="00690F3F">
        <w:rPr>
          <w:b/>
          <w:bCs/>
        </w:rPr>
        <w:t xml:space="preserve">Phone: 1800 200 422 </w:t>
      </w:r>
    </w:p>
    <w:p w:rsidR="00690F3F" w:rsidRPr="00690F3F" w:rsidRDefault="00690F3F" w:rsidP="00690F3F">
      <w:pPr>
        <w:pStyle w:val="NoSpacing"/>
      </w:pPr>
      <w:r w:rsidRPr="00690F3F">
        <w:t xml:space="preserve">Mon-Fri between 0800 to 2000, Sat 1000 to 1400 </w:t>
      </w:r>
    </w:p>
    <w:p w:rsidR="00690F3F" w:rsidRDefault="00690F3F" w:rsidP="00690F3F">
      <w:pPr>
        <w:pStyle w:val="NoSpacing"/>
      </w:pPr>
      <w:r w:rsidRPr="00690F3F">
        <w:t>Patient's do not have to be present for a phone referral but the call centre requires the patient’s consent for GPs to provide information on their behalf, and for the contact centre to contact the patient directly.</w:t>
      </w:r>
    </w:p>
    <w:p w:rsidR="00690F3F" w:rsidRDefault="00690F3F" w:rsidP="00690F3F">
      <w:pPr>
        <w:pStyle w:val="NoSpacing"/>
      </w:pPr>
    </w:p>
    <w:p w:rsidR="00690F3F" w:rsidRPr="00690F3F" w:rsidRDefault="00690F3F" w:rsidP="00690F3F">
      <w:pPr>
        <w:pStyle w:val="NoSpacing"/>
        <w:rPr>
          <w:b/>
        </w:rPr>
      </w:pPr>
      <w:r w:rsidRPr="00690F3F">
        <w:rPr>
          <w:b/>
        </w:rPr>
        <w:t>Web Referral:</w:t>
      </w:r>
    </w:p>
    <w:p w:rsidR="001A1AD5" w:rsidRPr="00690F3F" w:rsidRDefault="009779F3" w:rsidP="00690F3F">
      <w:pPr>
        <w:pStyle w:val="NoSpacing"/>
      </w:pPr>
      <w:r w:rsidRPr="00690F3F">
        <w:t xml:space="preserve">The form is available at </w:t>
      </w:r>
      <w:hyperlink r:id="rId8" w:history="1">
        <w:r w:rsidRPr="00690F3F">
          <w:rPr>
            <w:rStyle w:val="Hyperlink"/>
          </w:rPr>
          <w:t>www.myagedcare.gov.au/referral</w:t>
        </w:r>
      </w:hyperlink>
      <w:r w:rsidRPr="00690F3F">
        <w:t xml:space="preserve"> </w:t>
      </w:r>
    </w:p>
    <w:p w:rsidR="001A1AD5" w:rsidRPr="00690F3F" w:rsidRDefault="009779F3" w:rsidP="009779F3">
      <w:pPr>
        <w:pStyle w:val="NoSpacing"/>
      </w:pPr>
      <w:r w:rsidRPr="00690F3F">
        <w:t>Use the support person fi</w:t>
      </w:r>
      <w:r>
        <w:t>eld if you are lodging referral on someone’s behalf.</w:t>
      </w:r>
    </w:p>
    <w:p w:rsidR="001A1AD5" w:rsidRPr="00690F3F" w:rsidRDefault="00903483" w:rsidP="009779F3">
      <w:pPr>
        <w:pStyle w:val="NoSpacing"/>
      </w:pPr>
      <w:hyperlink r:id="rId9" w:history="1">
        <w:r w:rsidR="009779F3" w:rsidRPr="00690F3F">
          <w:rPr>
            <w:rStyle w:val="Hyperlink"/>
          </w:rPr>
          <w:t>Using New My Aged Care referral form</w:t>
        </w:r>
      </w:hyperlink>
    </w:p>
    <w:p w:rsidR="00690F3F" w:rsidRPr="00690F3F" w:rsidRDefault="00690F3F" w:rsidP="00690F3F">
      <w:pPr>
        <w:pStyle w:val="NoSpacing"/>
      </w:pPr>
    </w:p>
    <w:p w:rsidR="00690F3F" w:rsidRPr="00690F3F" w:rsidRDefault="00690F3F" w:rsidP="00690F3F">
      <w:pPr>
        <w:pStyle w:val="NoSpacing"/>
      </w:pPr>
      <w:r w:rsidRPr="00690F3F">
        <w:rPr>
          <w:b/>
          <w:bCs/>
        </w:rPr>
        <w:t>Fax: 1800 728 174</w:t>
      </w:r>
    </w:p>
    <w:p w:rsidR="00690F3F" w:rsidRPr="00690F3F" w:rsidRDefault="00690F3F" w:rsidP="00690F3F">
      <w:pPr>
        <w:pStyle w:val="NoSpacing"/>
      </w:pPr>
      <w:r w:rsidRPr="00690F3F">
        <w:t>Not recommended as slow update in processing.</w:t>
      </w:r>
    </w:p>
    <w:p w:rsidR="00690F3F" w:rsidRPr="00690F3F" w:rsidRDefault="00690F3F" w:rsidP="00690F3F">
      <w:pPr>
        <w:pStyle w:val="NoSpacing"/>
      </w:pPr>
      <w:r w:rsidRPr="00690F3F">
        <w:rPr>
          <w:b/>
          <w:bCs/>
        </w:rPr>
        <w:t>**Aged Care Assessment Team (ACAT) Referral Process</w:t>
      </w:r>
    </w:p>
    <w:p w:rsidR="00690F3F" w:rsidRPr="00690F3F" w:rsidRDefault="00690F3F" w:rsidP="00690F3F">
      <w:pPr>
        <w:pStyle w:val="NoSpacing"/>
      </w:pPr>
      <w:r w:rsidRPr="00690F3F">
        <w:t xml:space="preserve">From 4 February 2016, general practitioners and health </w:t>
      </w:r>
      <w:proofErr w:type="gramStart"/>
      <w:r w:rsidRPr="00690F3F">
        <w:t>professionals</w:t>
      </w:r>
      <w:proofErr w:type="gramEnd"/>
      <w:r w:rsidRPr="00690F3F">
        <w:t xml:space="preserve"> referrals to ACAT via above methods to My Aged Care.</w:t>
      </w:r>
    </w:p>
    <w:p w:rsidR="00690F3F" w:rsidRPr="00690F3F" w:rsidRDefault="00690F3F" w:rsidP="00690F3F">
      <w:pPr>
        <w:pStyle w:val="NoSpacing"/>
      </w:pPr>
      <w:r w:rsidRPr="00690F3F">
        <w:rPr>
          <w:b/>
          <w:bCs/>
        </w:rPr>
        <w:t>ACAT WILL NOT ACCEPT DIRECT REFERRALS.</w:t>
      </w:r>
    </w:p>
    <w:p w:rsidR="009F3CA4" w:rsidRDefault="009F3CA4" w:rsidP="004A64D3">
      <w:pPr>
        <w:pStyle w:val="NoSpacing"/>
      </w:pPr>
    </w:p>
    <w:p w:rsidR="009F3CA4" w:rsidRDefault="009F3CA4" w:rsidP="004A64D3">
      <w:pPr>
        <w:pStyle w:val="NoSpacing"/>
      </w:pPr>
    </w:p>
    <w:sectPr w:rsidR="009F3CA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CA4" w:rsidRDefault="009F3CA4" w:rsidP="009F3CA4">
      <w:pPr>
        <w:spacing w:after="0" w:line="240" w:lineRule="auto"/>
      </w:pPr>
      <w:r>
        <w:separator/>
      </w:r>
    </w:p>
  </w:endnote>
  <w:endnote w:type="continuationSeparator" w:id="0">
    <w:p w:rsidR="009F3CA4" w:rsidRDefault="009F3CA4" w:rsidP="009F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elle-san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Gotham SSm B">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CA4" w:rsidRDefault="009F3CA4" w:rsidP="009F3CA4">
      <w:pPr>
        <w:spacing w:after="0" w:line="240" w:lineRule="auto"/>
      </w:pPr>
      <w:r>
        <w:separator/>
      </w:r>
    </w:p>
  </w:footnote>
  <w:footnote w:type="continuationSeparator" w:id="0">
    <w:p w:rsidR="009F3CA4" w:rsidRDefault="009F3CA4" w:rsidP="009F3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CA4" w:rsidRDefault="009F3CA4">
    <w:pPr>
      <w:pStyle w:val="Header"/>
    </w:pPr>
    <w:r>
      <w:rPr>
        <w:rFonts w:ascii="Gotham SSm B" w:hAnsi="Gotham SSm B"/>
        <w:noProof/>
        <w:color w:val="00ADEE"/>
        <w:shd w:val="clear" w:color="auto" w:fill="FFFFFF"/>
        <w:lang w:eastAsia="en-AU"/>
      </w:rPr>
      <w:drawing>
        <wp:inline distT="0" distB="0" distL="0" distR="0" wp14:anchorId="1D17B7BE" wp14:editId="31F0C027">
          <wp:extent cx="2842601" cy="536713"/>
          <wp:effectExtent l="0" t="0" r="0" b="0"/>
          <wp:docPr id="1" name="Picture 1" descr="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2130" cy="5668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4769A"/>
    <w:multiLevelType w:val="hybridMultilevel"/>
    <w:tmpl w:val="8052447A"/>
    <w:lvl w:ilvl="0" w:tplc="6122B594">
      <w:start w:val="1"/>
      <w:numFmt w:val="bullet"/>
      <w:lvlText w:val=""/>
      <w:lvlJc w:val="left"/>
      <w:pPr>
        <w:tabs>
          <w:tab w:val="num" w:pos="720"/>
        </w:tabs>
        <w:ind w:left="720" w:hanging="360"/>
      </w:pPr>
      <w:rPr>
        <w:rFonts w:ascii="Wingdings 2" w:hAnsi="Wingdings 2" w:hint="default"/>
      </w:rPr>
    </w:lvl>
    <w:lvl w:ilvl="1" w:tplc="7680B294" w:tentative="1">
      <w:start w:val="1"/>
      <w:numFmt w:val="bullet"/>
      <w:lvlText w:val=""/>
      <w:lvlJc w:val="left"/>
      <w:pPr>
        <w:tabs>
          <w:tab w:val="num" w:pos="1440"/>
        </w:tabs>
        <w:ind w:left="1440" w:hanging="360"/>
      </w:pPr>
      <w:rPr>
        <w:rFonts w:ascii="Wingdings 2" w:hAnsi="Wingdings 2" w:hint="default"/>
      </w:rPr>
    </w:lvl>
    <w:lvl w:ilvl="2" w:tplc="5DF04C44" w:tentative="1">
      <w:start w:val="1"/>
      <w:numFmt w:val="bullet"/>
      <w:lvlText w:val=""/>
      <w:lvlJc w:val="left"/>
      <w:pPr>
        <w:tabs>
          <w:tab w:val="num" w:pos="2160"/>
        </w:tabs>
        <w:ind w:left="2160" w:hanging="360"/>
      </w:pPr>
      <w:rPr>
        <w:rFonts w:ascii="Wingdings 2" w:hAnsi="Wingdings 2" w:hint="default"/>
      </w:rPr>
    </w:lvl>
    <w:lvl w:ilvl="3" w:tplc="2F205120" w:tentative="1">
      <w:start w:val="1"/>
      <w:numFmt w:val="bullet"/>
      <w:lvlText w:val=""/>
      <w:lvlJc w:val="left"/>
      <w:pPr>
        <w:tabs>
          <w:tab w:val="num" w:pos="2880"/>
        </w:tabs>
        <w:ind w:left="2880" w:hanging="360"/>
      </w:pPr>
      <w:rPr>
        <w:rFonts w:ascii="Wingdings 2" w:hAnsi="Wingdings 2" w:hint="default"/>
      </w:rPr>
    </w:lvl>
    <w:lvl w:ilvl="4" w:tplc="BFDC0D24" w:tentative="1">
      <w:start w:val="1"/>
      <w:numFmt w:val="bullet"/>
      <w:lvlText w:val=""/>
      <w:lvlJc w:val="left"/>
      <w:pPr>
        <w:tabs>
          <w:tab w:val="num" w:pos="3600"/>
        </w:tabs>
        <w:ind w:left="3600" w:hanging="360"/>
      </w:pPr>
      <w:rPr>
        <w:rFonts w:ascii="Wingdings 2" w:hAnsi="Wingdings 2" w:hint="default"/>
      </w:rPr>
    </w:lvl>
    <w:lvl w:ilvl="5" w:tplc="795665C0" w:tentative="1">
      <w:start w:val="1"/>
      <w:numFmt w:val="bullet"/>
      <w:lvlText w:val=""/>
      <w:lvlJc w:val="left"/>
      <w:pPr>
        <w:tabs>
          <w:tab w:val="num" w:pos="4320"/>
        </w:tabs>
        <w:ind w:left="4320" w:hanging="360"/>
      </w:pPr>
      <w:rPr>
        <w:rFonts w:ascii="Wingdings 2" w:hAnsi="Wingdings 2" w:hint="default"/>
      </w:rPr>
    </w:lvl>
    <w:lvl w:ilvl="6" w:tplc="E19EEC76" w:tentative="1">
      <w:start w:val="1"/>
      <w:numFmt w:val="bullet"/>
      <w:lvlText w:val=""/>
      <w:lvlJc w:val="left"/>
      <w:pPr>
        <w:tabs>
          <w:tab w:val="num" w:pos="5040"/>
        </w:tabs>
        <w:ind w:left="5040" w:hanging="360"/>
      </w:pPr>
      <w:rPr>
        <w:rFonts w:ascii="Wingdings 2" w:hAnsi="Wingdings 2" w:hint="default"/>
      </w:rPr>
    </w:lvl>
    <w:lvl w:ilvl="7" w:tplc="F9B2CBF6" w:tentative="1">
      <w:start w:val="1"/>
      <w:numFmt w:val="bullet"/>
      <w:lvlText w:val=""/>
      <w:lvlJc w:val="left"/>
      <w:pPr>
        <w:tabs>
          <w:tab w:val="num" w:pos="5760"/>
        </w:tabs>
        <w:ind w:left="5760" w:hanging="360"/>
      </w:pPr>
      <w:rPr>
        <w:rFonts w:ascii="Wingdings 2" w:hAnsi="Wingdings 2" w:hint="default"/>
      </w:rPr>
    </w:lvl>
    <w:lvl w:ilvl="8" w:tplc="286C232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7B10A41"/>
    <w:multiLevelType w:val="hybridMultilevel"/>
    <w:tmpl w:val="47F0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637E9B"/>
    <w:multiLevelType w:val="multilevel"/>
    <w:tmpl w:val="CAA4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D3"/>
    <w:rsid w:val="00011F74"/>
    <w:rsid w:val="00012732"/>
    <w:rsid w:val="000D0367"/>
    <w:rsid w:val="001A1AD5"/>
    <w:rsid w:val="002A5025"/>
    <w:rsid w:val="003D2BCF"/>
    <w:rsid w:val="004A64D3"/>
    <w:rsid w:val="00506592"/>
    <w:rsid w:val="00690F3F"/>
    <w:rsid w:val="00713065"/>
    <w:rsid w:val="0073102B"/>
    <w:rsid w:val="008850E4"/>
    <w:rsid w:val="009779F3"/>
    <w:rsid w:val="009F3CA4"/>
    <w:rsid w:val="00B6305F"/>
    <w:rsid w:val="00EE51DD"/>
    <w:rsid w:val="00F84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EBB59-DB9D-4B7D-AD6B-08A96873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4D3"/>
    <w:pPr>
      <w:spacing w:after="0" w:line="240" w:lineRule="auto"/>
    </w:pPr>
  </w:style>
  <w:style w:type="paragraph" w:styleId="Header">
    <w:name w:val="header"/>
    <w:basedOn w:val="Normal"/>
    <w:link w:val="HeaderChar"/>
    <w:uiPriority w:val="99"/>
    <w:unhideWhenUsed/>
    <w:rsid w:val="009F3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CA4"/>
  </w:style>
  <w:style w:type="paragraph" w:styleId="Footer">
    <w:name w:val="footer"/>
    <w:basedOn w:val="Normal"/>
    <w:link w:val="FooterChar"/>
    <w:uiPriority w:val="99"/>
    <w:unhideWhenUsed/>
    <w:rsid w:val="009F3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CA4"/>
  </w:style>
  <w:style w:type="character" w:styleId="Hyperlink">
    <w:name w:val="Hyperlink"/>
    <w:basedOn w:val="DefaultParagraphFont"/>
    <w:uiPriority w:val="99"/>
    <w:unhideWhenUsed/>
    <w:rsid w:val="00690F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28212">
      <w:bodyDiv w:val="1"/>
      <w:marLeft w:val="0"/>
      <w:marRight w:val="0"/>
      <w:marTop w:val="0"/>
      <w:marBottom w:val="0"/>
      <w:divBdr>
        <w:top w:val="none" w:sz="0" w:space="0" w:color="auto"/>
        <w:left w:val="none" w:sz="0" w:space="0" w:color="auto"/>
        <w:bottom w:val="none" w:sz="0" w:space="0" w:color="auto"/>
        <w:right w:val="none" w:sz="0" w:space="0" w:color="auto"/>
      </w:divBdr>
    </w:div>
    <w:div w:id="1514950025">
      <w:bodyDiv w:val="1"/>
      <w:marLeft w:val="0"/>
      <w:marRight w:val="0"/>
      <w:marTop w:val="0"/>
      <w:marBottom w:val="0"/>
      <w:divBdr>
        <w:top w:val="none" w:sz="0" w:space="0" w:color="auto"/>
        <w:left w:val="none" w:sz="0" w:space="0" w:color="auto"/>
        <w:bottom w:val="none" w:sz="0" w:space="0" w:color="auto"/>
        <w:right w:val="none" w:sz="0" w:space="0" w:color="auto"/>
      </w:divBdr>
      <w:divsChild>
        <w:div w:id="370571902">
          <w:marLeft w:val="547"/>
          <w:marRight w:val="0"/>
          <w:marTop w:val="96"/>
          <w:marBottom w:val="0"/>
          <w:divBdr>
            <w:top w:val="none" w:sz="0" w:space="0" w:color="auto"/>
            <w:left w:val="none" w:sz="0" w:space="0" w:color="auto"/>
            <w:bottom w:val="none" w:sz="0" w:space="0" w:color="auto"/>
            <w:right w:val="none" w:sz="0" w:space="0" w:color="auto"/>
          </w:divBdr>
        </w:div>
        <w:div w:id="1337073409">
          <w:marLeft w:val="547"/>
          <w:marRight w:val="0"/>
          <w:marTop w:val="96"/>
          <w:marBottom w:val="0"/>
          <w:divBdr>
            <w:top w:val="none" w:sz="0" w:space="0" w:color="auto"/>
            <w:left w:val="none" w:sz="0" w:space="0" w:color="auto"/>
            <w:bottom w:val="none" w:sz="0" w:space="0" w:color="auto"/>
            <w:right w:val="none" w:sz="0" w:space="0" w:color="auto"/>
          </w:divBdr>
        </w:div>
        <w:div w:id="1692142665">
          <w:marLeft w:val="547"/>
          <w:marRight w:val="0"/>
          <w:marTop w:val="96"/>
          <w:marBottom w:val="0"/>
          <w:divBdr>
            <w:top w:val="none" w:sz="0" w:space="0" w:color="auto"/>
            <w:left w:val="none" w:sz="0" w:space="0" w:color="auto"/>
            <w:bottom w:val="none" w:sz="0" w:space="0" w:color="auto"/>
            <w:right w:val="none" w:sz="0" w:space="0" w:color="auto"/>
          </w:divBdr>
        </w:div>
      </w:divsChild>
    </w:div>
    <w:div w:id="1773238998">
      <w:bodyDiv w:val="1"/>
      <w:marLeft w:val="0"/>
      <w:marRight w:val="0"/>
      <w:marTop w:val="0"/>
      <w:marBottom w:val="0"/>
      <w:divBdr>
        <w:top w:val="none" w:sz="0" w:space="0" w:color="auto"/>
        <w:left w:val="none" w:sz="0" w:space="0" w:color="auto"/>
        <w:bottom w:val="none" w:sz="0" w:space="0" w:color="auto"/>
        <w:right w:val="none" w:sz="0" w:space="0" w:color="auto"/>
      </w:divBdr>
      <w:divsChild>
        <w:div w:id="1182889121">
          <w:marLeft w:val="0"/>
          <w:marRight w:val="0"/>
          <w:marTop w:val="0"/>
          <w:marBottom w:val="0"/>
          <w:divBdr>
            <w:top w:val="none" w:sz="0" w:space="0" w:color="auto"/>
            <w:left w:val="none" w:sz="0" w:space="0" w:color="auto"/>
            <w:bottom w:val="none" w:sz="0" w:space="0" w:color="auto"/>
            <w:right w:val="none" w:sz="0" w:space="0" w:color="auto"/>
          </w:divBdr>
          <w:divsChild>
            <w:div w:id="513149180">
              <w:marLeft w:val="0"/>
              <w:marRight w:val="0"/>
              <w:marTop w:val="0"/>
              <w:marBottom w:val="0"/>
              <w:divBdr>
                <w:top w:val="none" w:sz="0" w:space="0" w:color="auto"/>
                <w:left w:val="none" w:sz="0" w:space="0" w:color="auto"/>
                <w:bottom w:val="none" w:sz="0" w:space="0" w:color="auto"/>
                <w:right w:val="none" w:sz="0" w:space="0" w:color="auto"/>
              </w:divBdr>
              <w:divsChild>
                <w:div w:id="2118793928">
                  <w:marLeft w:val="0"/>
                  <w:marRight w:val="0"/>
                  <w:marTop w:val="0"/>
                  <w:marBottom w:val="0"/>
                  <w:divBdr>
                    <w:top w:val="none" w:sz="0" w:space="0" w:color="auto"/>
                    <w:left w:val="none" w:sz="0" w:space="0" w:color="auto"/>
                    <w:bottom w:val="none" w:sz="0" w:space="0" w:color="auto"/>
                    <w:right w:val="none" w:sz="0" w:space="0" w:color="auto"/>
                  </w:divBdr>
                  <w:divsChild>
                    <w:div w:id="493573823">
                      <w:marLeft w:val="0"/>
                      <w:marRight w:val="0"/>
                      <w:marTop w:val="0"/>
                      <w:marBottom w:val="0"/>
                      <w:divBdr>
                        <w:top w:val="none" w:sz="0" w:space="0" w:color="auto"/>
                        <w:left w:val="none" w:sz="0" w:space="0" w:color="auto"/>
                        <w:bottom w:val="none" w:sz="0" w:space="0" w:color="auto"/>
                        <w:right w:val="none" w:sz="0" w:space="0" w:color="auto"/>
                      </w:divBdr>
                      <w:divsChild>
                        <w:div w:id="1919091659">
                          <w:marLeft w:val="0"/>
                          <w:marRight w:val="0"/>
                          <w:marTop w:val="0"/>
                          <w:marBottom w:val="0"/>
                          <w:divBdr>
                            <w:top w:val="none" w:sz="0" w:space="0" w:color="auto"/>
                            <w:left w:val="none" w:sz="0" w:space="0" w:color="auto"/>
                            <w:bottom w:val="none" w:sz="0" w:space="0" w:color="auto"/>
                            <w:right w:val="none" w:sz="0" w:space="0" w:color="auto"/>
                          </w:divBdr>
                          <w:divsChild>
                            <w:div w:id="2077774093">
                              <w:marLeft w:val="0"/>
                              <w:marRight w:val="0"/>
                              <w:marTop w:val="0"/>
                              <w:marBottom w:val="0"/>
                              <w:divBdr>
                                <w:top w:val="none" w:sz="0" w:space="0" w:color="auto"/>
                                <w:left w:val="none" w:sz="0" w:space="0" w:color="auto"/>
                                <w:bottom w:val="none" w:sz="0" w:space="0" w:color="auto"/>
                                <w:right w:val="none" w:sz="0" w:space="0" w:color="auto"/>
                              </w:divBdr>
                              <w:divsChild>
                                <w:div w:id="10361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agedcare.gov.au/referral" TargetMode="External"/><Relationship Id="rId3" Type="http://schemas.openxmlformats.org/officeDocument/2006/relationships/settings" Target="settings.xml"/><Relationship Id="rId7" Type="http://schemas.openxmlformats.org/officeDocument/2006/relationships/hyperlink" Target="http://www.myagedcare.gov.au/financial-and-legal/home-care-package-income-tested-care-f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YFjibUjwiB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ydneynorthhealthnetwork.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Meccelli</dc:creator>
  <cp:lastModifiedBy>Sarah Fox</cp:lastModifiedBy>
  <cp:revision>2</cp:revision>
  <cp:lastPrinted>2017-03-01T05:19:00Z</cp:lastPrinted>
  <dcterms:created xsi:type="dcterms:W3CDTF">2017-11-24T03:49:00Z</dcterms:created>
  <dcterms:modified xsi:type="dcterms:W3CDTF">2017-11-24T03:49:00Z</dcterms:modified>
</cp:coreProperties>
</file>